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6B3" w:rsidRDefault="009C202D" w:rsidP="005C2F1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Koordinacija EDP, Informatika in</w:t>
      </w:r>
      <w:r w:rsidR="007F76B3">
        <w:rPr>
          <w:rFonts w:ascii="Arial" w:hAnsi="Arial" w:cs="Arial"/>
          <w:color w:val="000000"/>
          <w:sz w:val="20"/>
          <w:szCs w:val="20"/>
        </w:rPr>
        <w:t xml:space="preserve"> ELES z dobavitelji za uvedbo novega obračuna omrežnine na </w:t>
      </w:r>
      <w:proofErr w:type="spellStart"/>
      <w:r w:rsidR="007F76B3">
        <w:rPr>
          <w:rFonts w:ascii="Arial" w:hAnsi="Arial" w:cs="Arial"/>
          <w:color w:val="000000"/>
          <w:sz w:val="20"/>
          <w:szCs w:val="20"/>
        </w:rPr>
        <w:t>Teams</w:t>
      </w:r>
      <w:proofErr w:type="spellEnd"/>
    </w:p>
    <w:p w:rsidR="007F76B3" w:rsidRDefault="007F76B3" w:rsidP="005C2F13">
      <w:pPr>
        <w:rPr>
          <w:rFonts w:ascii="Arial" w:hAnsi="Arial" w:cs="Arial"/>
          <w:color w:val="000000"/>
          <w:sz w:val="20"/>
          <w:szCs w:val="20"/>
        </w:rPr>
      </w:pPr>
    </w:p>
    <w:p w:rsidR="006C57AA" w:rsidRDefault="00C80377" w:rsidP="005C2F1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Dne 21.12.2023</w:t>
      </w:r>
      <w:bookmarkStart w:id="0" w:name="_GoBack"/>
      <w:bookmarkEnd w:id="0"/>
      <w:r w:rsidR="006C57AA">
        <w:rPr>
          <w:rFonts w:ascii="Arial" w:hAnsi="Arial" w:cs="Arial"/>
          <w:color w:val="000000"/>
          <w:sz w:val="20"/>
          <w:szCs w:val="20"/>
        </w:rPr>
        <w:t xml:space="preserve"> od 9:00 do 10:00</w:t>
      </w:r>
    </w:p>
    <w:p w:rsidR="007F76B3" w:rsidRDefault="007F76B3" w:rsidP="005C2F13">
      <w:pPr>
        <w:rPr>
          <w:rFonts w:ascii="Arial" w:hAnsi="Arial" w:cs="Arial"/>
          <w:color w:val="000000"/>
          <w:sz w:val="20"/>
          <w:szCs w:val="20"/>
        </w:rPr>
      </w:pPr>
    </w:p>
    <w:p w:rsidR="007F76B3" w:rsidRDefault="007F76B3" w:rsidP="005C2F1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Posnetek:</w:t>
      </w:r>
      <w:r w:rsidR="00FF786F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5" w:history="1">
        <w:r w:rsidR="00FF786F">
          <w:rPr>
            <w:rStyle w:val="Hiperpovezava"/>
          </w:rPr>
          <w:t>https://www.sodo.si/sl/za-dobavitelje/predstavitve-za-dobavitelje/video-vsebine</w:t>
        </w:r>
      </w:hyperlink>
    </w:p>
    <w:p w:rsidR="007F76B3" w:rsidRDefault="007F76B3" w:rsidP="005C2F13">
      <w:pPr>
        <w:rPr>
          <w:rFonts w:ascii="Arial" w:hAnsi="Arial" w:cs="Arial"/>
          <w:color w:val="000000"/>
          <w:sz w:val="20"/>
          <w:szCs w:val="20"/>
        </w:rPr>
      </w:pPr>
    </w:p>
    <w:p w:rsidR="005C2F13" w:rsidRDefault="005C2F13" w:rsidP="005C2F1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Dnevni red:</w:t>
      </w:r>
    </w:p>
    <w:p w:rsidR="005C2F13" w:rsidRDefault="005C2F13" w:rsidP="005C2F13">
      <w:pPr>
        <w:numPr>
          <w:ilvl w:val="0"/>
          <w:numId w:val="3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Uvajanje informacijske podpore za uvedbo novega obračuna omrežnine (Mitja Prešern)</w:t>
      </w:r>
    </w:p>
    <w:p w:rsidR="005C2F13" w:rsidRDefault="005C2F13" w:rsidP="005C2F13">
      <w:pPr>
        <w:numPr>
          <w:ilvl w:val="0"/>
          <w:numId w:val="3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Testiranje (Maja Košir)</w:t>
      </w:r>
    </w:p>
    <w:p w:rsidR="005C2F13" w:rsidRDefault="005C2F13" w:rsidP="005C2F13">
      <w:pPr>
        <w:numPr>
          <w:ilvl w:val="0"/>
          <w:numId w:val="3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Odgovori na vprašanja (glede na temo)</w:t>
      </w:r>
    </w:p>
    <w:p w:rsidR="005C2F13" w:rsidRDefault="007F76B3" w:rsidP="005C2F13">
      <w:pPr>
        <w:numPr>
          <w:ilvl w:val="0"/>
          <w:numId w:val="3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Obvestilo o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nepotrditvi</w:t>
      </w:r>
      <w:proofErr w:type="spellEnd"/>
      <w:r w:rsidR="005C2F13">
        <w:rPr>
          <w:rFonts w:ascii="Arial" w:eastAsia="Times New Roman" w:hAnsi="Arial" w:cs="Arial"/>
          <w:color w:val="000000"/>
          <w:sz w:val="20"/>
          <w:szCs w:val="20"/>
        </w:rPr>
        <w:t xml:space="preserve"> predloga spremembe pravil za delovanje trga</w:t>
      </w:r>
    </w:p>
    <w:p w:rsidR="005C2F13" w:rsidRDefault="005C2F13" w:rsidP="005C2F13">
      <w:pPr>
        <w:numPr>
          <w:ilvl w:val="0"/>
          <w:numId w:val="3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Določiti naslednji termin</w:t>
      </w:r>
    </w:p>
    <w:p w:rsidR="007F76B3" w:rsidRPr="007F76B3" w:rsidRDefault="007F76B3" w:rsidP="005C2F13">
      <w:pPr>
        <w:numPr>
          <w:ilvl w:val="0"/>
          <w:numId w:val="3"/>
        </w:numPr>
        <w:rPr>
          <w:rFonts w:ascii="Arial" w:eastAsia="Times New Roman" w:hAnsi="Arial" w:cs="Arial"/>
          <w:color w:val="000000"/>
          <w:sz w:val="20"/>
          <w:szCs w:val="20"/>
        </w:rPr>
      </w:pPr>
      <w:r w:rsidRPr="007F76B3">
        <w:t>Nova dobavitelja</w:t>
      </w:r>
    </w:p>
    <w:p w:rsidR="005C2F13" w:rsidRDefault="005C2F13" w:rsidP="005C2F13">
      <w:r>
        <w:rPr>
          <w:color w:val="5F5F5F"/>
        </w:rPr>
        <w:t>________________________________________________________________________________</w:t>
      </w:r>
      <w:r>
        <w:t xml:space="preserve"> </w:t>
      </w:r>
    </w:p>
    <w:p w:rsidR="00B8764B" w:rsidRDefault="00B8764B"/>
    <w:p w:rsidR="005C2F13" w:rsidRPr="005C2F13" w:rsidRDefault="005C2F1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C2F13">
        <w:rPr>
          <w:b/>
        </w:rPr>
        <w:t>AD1</w:t>
      </w:r>
      <w:r w:rsidRPr="005C2F13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Uvajanje informacijske podpore za uvedbo novega o</w:t>
      </w:r>
      <w:r w:rsidR="00952772">
        <w:rPr>
          <w:rFonts w:ascii="Arial" w:eastAsia="Times New Roman" w:hAnsi="Arial" w:cs="Arial"/>
          <w:b/>
          <w:color w:val="000000"/>
          <w:sz w:val="20"/>
          <w:szCs w:val="20"/>
        </w:rPr>
        <w:t>bračuna omrežnine (Maja Košir</w:t>
      </w:r>
      <w:r w:rsidR="007F76B3">
        <w:rPr>
          <w:rFonts w:ascii="Arial" w:eastAsia="Times New Roman" w:hAnsi="Arial" w:cs="Arial"/>
          <w:b/>
          <w:color w:val="000000"/>
          <w:sz w:val="20"/>
          <w:szCs w:val="20"/>
        </w:rPr>
        <w:t>,</w:t>
      </w:r>
      <w:r w:rsidR="00952772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proofErr w:type="spellStart"/>
      <w:r w:rsidR="00952772">
        <w:rPr>
          <w:rFonts w:ascii="Arial" w:eastAsia="Times New Roman" w:hAnsi="Arial" w:cs="Arial"/>
          <w:b/>
          <w:color w:val="000000"/>
          <w:sz w:val="20"/>
          <w:szCs w:val="20"/>
        </w:rPr>
        <w:t>Balaž</w:t>
      </w:r>
      <w:proofErr w:type="spellEnd"/>
      <w:r w:rsidR="00952772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Kraner, Valerija Koletnik, Borut Černivec</w:t>
      </w:r>
      <w:r w:rsidRPr="005C2F13">
        <w:rPr>
          <w:rFonts w:ascii="Arial" w:eastAsia="Times New Roman" w:hAnsi="Arial" w:cs="Arial"/>
          <w:b/>
          <w:color w:val="000000"/>
          <w:sz w:val="20"/>
          <w:szCs w:val="20"/>
        </w:rPr>
        <w:t>)</w:t>
      </w:r>
    </w:p>
    <w:p w:rsidR="005C2F13" w:rsidRDefault="005C2F13">
      <w:r>
        <w:t xml:space="preserve">Testiranje </w:t>
      </w:r>
      <w:r w:rsidR="00B0338F">
        <w:t xml:space="preserve">za dobavitelje je </w:t>
      </w:r>
      <w:r>
        <w:t>v teku.</w:t>
      </w:r>
      <w:r w:rsidR="00952772">
        <w:t xml:space="preserve"> Maili za sporočanje</w:t>
      </w:r>
      <w:r w:rsidR="007F76B3">
        <w:t xml:space="preserve"> napak in vprašanja ter</w:t>
      </w:r>
      <w:r w:rsidR="00952772">
        <w:t xml:space="preserve"> protokol v zadnjem zap</w:t>
      </w:r>
      <w:r w:rsidR="007F76B3">
        <w:t>is</w:t>
      </w:r>
      <w:r w:rsidR="00952772">
        <w:t>niku</w:t>
      </w:r>
      <w:r w:rsidR="007F76B3">
        <w:t>.</w:t>
      </w:r>
    </w:p>
    <w:p w:rsidR="00FF786F" w:rsidRDefault="00FF786F">
      <w:r>
        <w:t>Poslano vsem dobaviteljem na elektronske pošte iz obracunomreznine:</w:t>
      </w:r>
    </w:p>
    <w:p w:rsidR="00952772" w:rsidRDefault="00952772" w:rsidP="00952772">
      <w:r>
        <w:t>Obveščamo, da so v skladu z zapisnikom koordinacije z dobavitelji, na voljo testne priloge A po spodnjih dveh tabelah, že od 15.12.2023.</w:t>
      </w:r>
    </w:p>
    <w:p w:rsidR="00952772" w:rsidRDefault="00952772" w:rsidP="00952772"/>
    <w:p w:rsidR="00952772" w:rsidRDefault="00952772" w:rsidP="00952772">
      <w:r>
        <w:t>15.12.2023</w:t>
      </w:r>
    </w:p>
    <w:p w:rsidR="00952772" w:rsidRDefault="00952772" w:rsidP="00952772">
      <w:r>
        <w:rPr>
          <w:noProof/>
          <w:lang w:eastAsia="sl-SI"/>
        </w:rPr>
        <w:drawing>
          <wp:inline distT="0" distB="0" distL="0" distR="0">
            <wp:extent cx="1670050" cy="2044700"/>
            <wp:effectExtent l="0" t="0" r="6350" b="0"/>
            <wp:docPr id="1" name="Slika 1" descr="cid:image004.png@01DA328D.BA342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4.png@01DA328D.BA342CD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772" w:rsidRDefault="00952772" w:rsidP="00952772"/>
    <w:p w:rsidR="00952772" w:rsidRDefault="00952772" w:rsidP="00952772">
      <w:pPr>
        <w:rPr>
          <w:lang w:eastAsia="sl-SI"/>
        </w:rPr>
      </w:pPr>
    </w:p>
    <w:p w:rsidR="00952772" w:rsidRDefault="00952772" w:rsidP="00952772"/>
    <w:p w:rsidR="00952772" w:rsidRDefault="00952772" w:rsidP="00952772">
      <w:r>
        <w:t>18.12.2023</w:t>
      </w:r>
    </w:p>
    <w:tbl>
      <w:tblPr>
        <w:tblW w:w="3320" w:type="dxa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1900"/>
      </w:tblGrid>
      <w:tr w:rsidR="00952772" w:rsidTr="00952772">
        <w:trPr>
          <w:trHeight w:val="30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rPr>
                <w:b/>
                <w:bCs/>
              </w:rPr>
            </w:pPr>
            <w:r>
              <w:rPr>
                <w:b/>
                <w:bCs/>
              </w:rPr>
              <w:t>OZN_DOB_EE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rPr>
                <w:b/>
                <w:bCs/>
              </w:rPr>
            </w:pPr>
            <w:r>
              <w:rPr>
                <w:b/>
                <w:bCs/>
              </w:rPr>
              <w:t>ST_PA</w:t>
            </w:r>
          </w:p>
        </w:tc>
      </w:tr>
      <w:tr w:rsidR="00952772" w:rsidTr="00952772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52772" w:rsidTr="00952772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52772" w:rsidTr="00952772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952772" w:rsidTr="00952772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952772" w:rsidTr="00952772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52772" w:rsidTr="00952772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952772" w:rsidTr="00952772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952772" w:rsidTr="00952772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952772" w:rsidTr="00952772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52772" w:rsidTr="00952772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52772" w:rsidTr="00952772">
        <w:trPr>
          <w:trHeight w:val="300"/>
        </w:trPr>
        <w:tc>
          <w:tcPr>
            <w:tcW w:w="1420" w:type="dxa"/>
            <w:shd w:val="clear" w:color="auto" w:fill="E2EF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SKUPAJ</w:t>
            </w:r>
          </w:p>
        </w:tc>
        <w:tc>
          <w:tcPr>
            <w:tcW w:w="1900" w:type="dxa"/>
            <w:shd w:val="clear" w:color="auto" w:fill="E2EF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2772" w:rsidRDefault="009527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</w:tr>
    </w:tbl>
    <w:p w:rsidR="00952772" w:rsidRDefault="00952772" w:rsidP="00952772"/>
    <w:p w:rsidR="00FF786F" w:rsidRDefault="00FF786F" w:rsidP="00952772"/>
    <w:p w:rsidR="00FF786F" w:rsidRDefault="00FF786F" w:rsidP="00952772"/>
    <w:p w:rsidR="00FF786F" w:rsidRDefault="00FF786F" w:rsidP="00952772">
      <w:r>
        <w:t>Posodobitev podatkov od Valerije Koletnik za beležko in uporabo:</w:t>
      </w:r>
    </w:p>
    <w:p w:rsidR="00FF786F" w:rsidRDefault="00FF786F" w:rsidP="00952772"/>
    <w:p w:rsidR="00FF786F" w:rsidRDefault="00FF786F" w:rsidP="00FF786F">
      <w:r>
        <w:t>Do vključno 20.12.2023 je bilo dobaviteljem posredovano 584 PA za M1-1  in 184 M1-4.</w:t>
      </w:r>
    </w:p>
    <w:p w:rsidR="00FF786F" w:rsidRDefault="00FF786F" w:rsidP="00FF786F"/>
    <w:p w:rsidR="00FF786F" w:rsidRDefault="00FF786F" w:rsidP="00FF786F">
      <w:r>
        <w:t>LPV</w:t>
      </w:r>
    </w:p>
    <w:p w:rsidR="00FF786F" w:rsidRDefault="00FF786F" w:rsidP="00FF786F"/>
    <w:tbl>
      <w:tblPr>
        <w:tblW w:w="8860" w:type="dxa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1600"/>
        <w:gridCol w:w="1420"/>
        <w:gridCol w:w="1300"/>
        <w:gridCol w:w="1480"/>
        <w:gridCol w:w="1300"/>
      </w:tblGrid>
      <w:tr w:rsidR="00FF786F" w:rsidTr="00FF786F">
        <w:trPr>
          <w:trHeight w:val="315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M1-1</w:t>
            </w:r>
          </w:p>
        </w:tc>
        <w:tc>
          <w:tcPr>
            <w:tcW w:w="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OZN_DOB_EE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ST_PA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b/>
                <w:bCs/>
                <w:i/>
                <w:iCs/>
                <w:color w:val="000000"/>
                <w:lang w:eastAsia="sl-SI"/>
              </w:rPr>
            </w:pPr>
            <w:r>
              <w:rPr>
                <w:b/>
                <w:bCs/>
                <w:i/>
                <w:iCs/>
                <w:color w:val="000000"/>
                <w:lang w:eastAsia="sl-SI"/>
              </w:rPr>
              <w:t>15.12.2023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jc w:val="right"/>
              <w:rPr>
                <w:b/>
                <w:bCs/>
                <w:i/>
                <w:iCs/>
                <w:color w:val="000000"/>
                <w:lang w:eastAsia="sl-SI"/>
              </w:rPr>
            </w:pPr>
            <w:r>
              <w:rPr>
                <w:b/>
                <w:bCs/>
                <w:i/>
                <w:iCs/>
                <w:color w:val="000000"/>
                <w:lang w:eastAsia="sl-SI"/>
              </w:rPr>
              <w:t>18.12.2023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jc w:val="right"/>
              <w:rPr>
                <w:b/>
                <w:bCs/>
                <w:i/>
                <w:iCs/>
                <w:color w:val="000000"/>
                <w:lang w:eastAsia="sl-SI"/>
              </w:rPr>
            </w:pPr>
            <w:r>
              <w:rPr>
                <w:b/>
                <w:bCs/>
                <w:i/>
                <w:iCs/>
                <w:color w:val="000000"/>
                <w:lang w:eastAsia="sl-SI"/>
              </w:rPr>
              <w:t>19.12.2023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jc w:val="right"/>
              <w:rPr>
                <w:b/>
                <w:bCs/>
                <w:i/>
                <w:iCs/>
                <w:color w:val="000000"/>
                <w:lang w:eastAsia="sl-SI"/>
              </w:rPr>
            </w:pPr>
            <w:r>
              <w:rPr>
                <w:b/>
                <w:bCs/>
                <w:i/>
                <w:iCs/>
                <w:color w:val="000000"/>
                <w:lang w:eastAsia="sl-SI"/>
              </w:rPr>
              <w:t>20.12.2023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b/>
                <w:bCs/>
                <w:i/>
                <w:iCs/>
                <w:color w:val="00000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6002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23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6003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12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6004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18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6007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9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14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0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7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3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8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</w:tr>
      <w:tr w:rsidR="00FF786F" w:rsidTr="00FF786F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10070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0</w:t>
            </w: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</w:tr>
      <w:tr w:rsidR="00FF786F" w:rsidTr="00FF786F">
        <w:trPr>
          <w:trHeight w:val="300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Skupaj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jc w:val="right"/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188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jc w:val="right"/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164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jc w:val="right"/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137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jc w:val="right"/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95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9D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jc w:val="right"/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584</w:t>
            </w:r>
          </w:p>
        </w:tc>
      </w:tr>
      <w:tr w:rsidR="00FF786F" w:rsidTr="00FF786F">
        <w:trPr>
          <w:trHeight w:val="315"/>
        </w:trPr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</w:p>
        </w:tc>
        <w:tc>
          <w:tcPr>
            <w:tcW w:w="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M1-4</w:t>
            </w:r>
          </w:p>
        </w:tc>
        <w:tc>
          <w:tcPr>
            <w:tcW w:w="16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OZN_DOB_EE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ST_PA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b/>
                <w:bCs/>
                <w:i/>
                <w:iCs/>
                <w:color w:val="000000"/>
                <w:lang w:eastAsia="sl-SI"/>
              </w:rPr>
            </w:pPr>
            <w:r>
              <w:rPr>
                <w:b/>
                <w:bCs/>
                <w:i/>
                <w:iCs/>
                <w:color w:val="000000"/>
                <w:lang w:eastAsia="sl-SI"/>
              </w:rPr>
              <w:t>20.12.2023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b/>
                <w:bCs/>
                <w:i/>
                <w:iCs/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6002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24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6003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16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6004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35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6007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25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16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2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43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14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10069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786F" w:rsidRDefault="00FF786F">
            <w:pPr>
              <w:jc w:val="right"/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9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FF786F" w:rsidTr="00FF786F">
        <w:trPr>
          <w:trHeight w:val="300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color w:val="000000"/>
                <w:lang w:eastAsia="sl-SI"/>
              </w:rPr>
            </w:pPr>
            <w:r>
              <w:rPr>
                <w:color w:val="000000"/>
                <w:lang w:eastAsia="sl-SI"/>
              </w:rPr>
              <w:t>Skupaj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jc w:val="right"/>
              <w:rPr>
                <w:b/>
                <w:bCs/>
                <w:color w:val="000000"/>
                <w:lang w:eastAsia="sl-SI"/>
              </w:rPr>
            </w:pPr>
            <w:r>
              <w:rPr>
                <w:b/>
                <w:bCs/>
                <w:color w:val="000000"/>
                <w:lang w:eastAsia="sl-SI"/>
              </w:rPr>
              <w:t>184</w:t>
            </w:r>
          </w:p>
        </w:tc>
        <w:tc>
          <w:tcPr>
            <w:tcW w:w="14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b/>
                <w:bCs/>
                <w:color w:val="00000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F786F" w:rsidRDefault="00FF78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</w:tbl>
    <w:p w:rsidR="00FF786F" w:rsidRDefault="00FF786F" w:rsidP="00952772"/>
    <w:p w:rsidR="007F76B3" w:rsidRDefault="007F76B3"/>
    <w:p w:rsidR="00952772" w:rsidRDefault="007F76B3">
      <w:r w:rsidRPr="007F76B3">
        <w:rPr>
          <w:b/>
        </w:rPr>
        <w:t>Maja Košir:</w:t>
      </w:r>
      <w:r>
        <w:t xml:space="preserve"> </w:t>
      </w:r>
      <w:r w:rsidR="00952772">
        <w:t xml:space="preserve">Ponovno opozarjamo, da smo morali vrsto računa </w:t>
      </w:r>
      <w:r w:rsidR="00952772" w:rsidRPr="007F76B3">
        <w:rPr>
          <w:b/>
        </w:rPr>
        <w:t>spremeniti</w:t>
      </w:r>
      <w:r w:rsidR="00952772">
        <w:t xml:space="preserve"> za namen TESTIRANJA. Tudi </w:t>
      </w:r>
      <w:proofErr w:type="spellStart"/>
      <w:r w:rsidR="00952772">
        <w:t>Ngen</w:t>
      </w:r>
      <w:proofErr w:type="spellEnd"/>
      <w:r w:rsidR="00B0338F">
        <w:t>-</w:t>
      </w:r>
      <w:r w:rsidR="00952772">
        <w:t>u smo zagotovili vzorce.</w:t>
      </w:r>
    </w:p>
    <w:p w:rsidR="00952772" w:rsidRDefault="00952772">
      <w:r>
        <w:t xml:space="preserve">Ponovno opozarjamo, da si naredite orodja, da si priloge A </w:t>
      </w:r>
      <w:r w:rsidRPr="007F76B3">
        <w:rPr>
          <w:b/>
        </w:rPr>
        <w:t>SHRANITE</w:t>
      </w:r>
      <w:r>
        <w:t>, ker ne bodo ponovno poslane.</w:t>
      </w:r>
    </w:p>
    <w:p w:rsidR="00952772" w:rsidRDefault="00952772">
      <w:r>
        <w:t xml:space="preserve">V naslednji fazi bodo nove </w:t>
      </w:r>
      <w:proofErr w:type="spellStart"/>
      <w:r>
        <w:t>prilogA</w:t>
      </w:r>
      <w:proofErr w:type="spellEnd"/>
      <w:r>
        <w:t>, Starih ne bomo ponavljali.</w:t>
      </w:r>
    </w:p>
    <w:p w:rsidR="00952772" w:rsidRDefault="00952772">
      <w:r>
        <w:lastRenderedPageBreak/>
        <w:t>Sledi testiranje po rokovniku iz zadnjega zapisnika.</w:t>
      </w:r>
    </w:p>
    <w:p w:rsidR="007F76B3" w:rsidRDefault="007F76B3"/>
    <w:p w:rsidR="00952772" w:rsidRDefault="00952772">
      <w:r w:rsidRPr="007F76B3">
        <w:rPr>
          <w:b/>
        </w:rPr>
        <w:t xml:space="preserve">Nedim </w:t>
      </w:r>
      <w:proofErr w:type="spellStart"/>
      <w:r w:rsidRPr="007F76B3">
        <w:rPr>
          <w:b/>
        </w:rPr>
        <w:t>Husakovič</w:t>
      </w:r>
      <w:proofErr w:type="spellEnd"/>
      <w:r w:rsidRPr="007F76B3">
        <w:rPr>
          <w:b/>
        </w:rPr>
        <w:t>:</w:t>
      </w:r>
      <w:r>
        <w:t xml:space="preserve"> Kdaj bo prepisan testni sistem?</w:t>
      </w:r>
    </w:p>
    <w:p w:rsidR="00952772" w:rsidRDefault="00952772">
      <w:r w:rsidRPr="007F76B3">
        <w:rPr>
          <w:b/>
        </w:rPr>
        <w:t>Maja Košir:</w:t>
      </w:r>
      <w:r>
        <w:t xml:space="preserve"> 3.1.2024</w:t>
      </w:r>
    </w:p>
    <w:p w:rsidR="00952772" w:rsidRDefault="00952772"/>
    <w:p w:rsidR="00952772" w:rsidRDefault="00952772"/>
    <w:p w:rsidR="005C2F13" w:rsidRDefault="005C2F13"/>
    <w:p w:rsidR="005C2F13" w:rsidRDefault="005C2F1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C2F13">
        <w:rPr>
          <w:rFonts w:ascii="Arial" w:eastAsia="Times New Roman" w:hAnsi="Arial" w:cs="Arial"/>
          <w:b/>
          <w:color w:val="000000"/>
          <w:sz w:val="20"/>
          <w:szCs w:val="20"/>
        </w:rPr>
        <w:t>AD2 Testiranje (Maja Košir)</w:t>
      </w:r>
    </w:p>
    <w:p w:rsidR="00952772" w:rsidRDefault="00952772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GLEJ AD1</w:t>
      </w:r>
    </w:p>
    <w:p w:rsidR="005C2F13" w:rsidRPr="005C2F13" w:rsidRDefault="005C2F1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5C2F13" w:rsidRDefault="005C2F1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C2F13">
        <w:rPr>
          <w:rFonts w:ascii="Arial" w:eastAsia="Times New Roman" w:hAnsi="Arial" w:cs="Arial"/>
          <w:b/>
          <w:color w:val="000000"/>
          <w:sz w:val="20"/>
          <w:szCs w:val="20"/>
        </w:rPr>
        <w:t>AD3 Odgo</w:t>
      </w:r>
      <w:r w:rsidR="007F76B3">
        <w:rPr>
          <w:rFonts w:ascii="Arial" w:eastAsia="Times New Roman" w:hAnsi="Arial" w:cs="Arial"/>
          <w:b/>
          <w:color w:val="000000"/>
          <w:sz w:val="20"/>
          <w:szCs w:val="20"/>
        </w:rPr>
        <w:t xml:space="preserve">vori na vprašanja (več </w:t>
      </w:r>
      <w:proofErr w:type="spellStart"/>
      <w:r w:rsidR="007F76B3">
        <w:rPr>
          <w:rFonts w:ascii="Arial" w:eastAsia="Times New Roman" w:hAnsi="Arial" w:cs="Arial"/>
          <w:b/>
          <w:color w:val="000000"/>
          <w:sz w:val="20"/>
          <w:szCs w:val="20"/>
        </w:rPr>
        <w:t>razpravljalcev</w:t>
      </w:r>
      <w:proofErr w:type="spellEnd"/>
      <w:r w:rsidRPr="005C2F13">
        <w:rPr>
          <w:rFonts w:ascii="Arial" w:eastAsia="Times New Roman" w:hAnsi="Arial" w:cs="Arial"/>
          <w:b/>
          <w:color w:val="000000"/>
          <w:sz w:val="20"/>
          <w:szCs w:val="20"/>
        </w:rPr>
        <w:t>)</w:t>
      </w:r>
    </w:p>
    <w:p w:rsidR="005C2F13" w:rsidRDefault="005C2F1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3C5253" w:rsidRPr="003C5253" w:rsidRDefault="003C5253" w:rsidP="005C2F1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3C5253">
        <w:rPr>
          <w:rFonts w:ascii="Arial" w:eastAsia="Times New Roman" w:hAnsi="Arial" w:cs="Arial"/>
          <w:color w:val="000000"/>
          <w:sz w:val="20"/>
          <w:szCs w:val="20"/>
        </w:rPr>
        <w:t>Naknadno na sestanku</w:t>
      </w:r>
      <w:r w:rsidR="007F76B3">
        <w:rPr>
          <w:rFonts w:ascii="Arial" w:eastAsia="Times New Roman" w:hAnsi="Arial" w:cs="Arial"/>
          <w:color w:val="000000"/>
          <w:sz w:val="20"/>
          <w:szCs w:val="20"/>
        </w:rPr>
        <w:t xml:space="preserve">, ker je izpadlo iz </w:t>
      </w:r>
      <w:proofErr w:type="spellStart"/>
      <w:r w:rsidR="007F76B3">
        <w:rPr>
          <w:rFonts w:ascii="Arial" w:eastAsia="Times New Roman" w:hAnsi="Arial" w:cs="Arial"/>
          <w:color w:val="000000"/>
          <w:sz w:val="20"/>
          <w:szCs w:val="20"/>
        </w:rPr>
        <w:t>odgovorv</w:t>
      </w:r>
      <w:proofErr w:type="spellEnd"/>
      <w:r w:rsidR="007F76B3">
        <w:rPr>
          <w:rFonts w:ascii="Arial" w:eastAsia="Times New Roman" w:hAnsi="Arial" w:cs="Arial"/>
          <w:color w:val="000000"/>
          <w:sz w:val="20"/>
          <w:szCs w:val="20"/>
        </w:rPr>
        <w:t xml:space="preserve"> na vprašanja</w:t>
      </w:r>
      <w:r w:rsidRPr="003C5253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3F77A5" w:rsidRPr="007F76B3" w:rsidRDefault="003F77A5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F76B3">
        <w:rPr>
          <w:rFonts w:ascii="Arial" w:eastAsia="Times New Roman" w:hAnsi="Arial" w:cs="Arial"/>
          <w:b/>
          <w:color w:val="000000"/>
          <w:sz w:val="20"/>
          <w:szCs w:val="20"/>
        </w:rPr>
        <w:t xml:space="preserve">Nedim </w:t>
      </w:r>
      <w:proofErr w:type="spellStart"/>
      <w:r w:rsidRPr="007F76B3">
        <w:rPr>
          <w:rFonts w:ascii="Arial" w:eastAsia="Times New Roman" w:hAnsi="Arial" w:cs="Arial"/>
          <w:b/>
          <w:color w:val="000000"/>
          <w:sz w:val="20"/>
          <w:szCs w:val="20"/>
        </w:rPr>
        <w:t>Husakovć</w:t>
      </w:r>
      <w:proofErr w:type="spellEnd"/>
      <w:r w:rsidRPr="007F76B3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Petrol:</w:t>
      </w:r>
    </w:p>
    <w:p w:rsidR="003F77A5" w:rsidRDefault="003F77A5" w:rsidP="003F77A5">
      <w:pPr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 xml:space="preserve">Kako bodo zgledali poračuni, ki jih bomo dobili po 01.07.2024 za M0-1, Primer: Poračun od 01.02.2024 do 10.07.2024; Kako bo ta </w:t>
      </w:r>
      <w:proofErr w:type="spellStart"/>
      <w:r>
        <w:rPr>
          <w:rFonts w:eastAsia="Times New Roman"/>
        </w:rPr>
        <w:t>prilogaA</w:t>
      </w:r>
      <w:proofErr w:type="spellEnd"/>
      <w:r>
        <w:rPr>
          <w:rFonts w:eastAsia="Times New Roman"/>
        </w:rPr>
        <w:t xml:space="preserve"> zgledala? A bo vsebovala sumarne količine in </w:t>
      </w:r>
      <w:proofErr w:type="spellStart"/>
      <w:r>
        <w:rPr>
          <w:rFonts w:eastAsia="Times New Roman"/>
        </w:rPr>
        <w:t>ŠifroUvrstitveObračuna</w:t>
      </w:r>
      <w:proofErr w:type="spellEnd"/>
      <w:r>
        <w:rPr>
          <w:rFonts w:eastAsia="Times New Roman"/>
        </w:rPr>
        <w:t xml:space="preserve"> obračuna. Kaj bo parameter kdaj bo napolnjen podatek Šifra uvrstitve obračuna?</w:t>
      </w:r>
      <w:r w:rsidR="007F76B3">
        <w:rPr>
          <w:rFonts w:eastAsia="Times New Roman"/>
        </w:rPr>
        <w:t xml:space="preserve"> (Odgovor je na voljo na  posnetku)</w:t>
      </w:r>
    </w:p>
    <w:p w:rsidR="003F77A5" w:rsidRDefault="003F77A5" w:rsidP="003F77A5">
      <w:pPr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 xml:space="preserve">Popravki za nazaj po 01.07.2024 Ali to pomeni, da se gleda datum do? Če je datum DO večji od 01.07.2023 potem predvidevamo, da vedno dobimo </w:t>
      </w:r>
      <w:proofErr w:type="spellStart"/>
      <w:r>
        <w:rPr>
          <w:rFonts w:eastAsia="Times New Roman"/>
        </w:rPr>
        <w:t>ŠifroUvrstitve</w:t>
      </w:r>
      <w:proofErr w:type="spellEnd"/>
      <w:r>
        <w:rPr>
          <w:rFonts w:eastAsia="Times New Roman"/>
        </w:rPr>
        <w:t xml:space="preserve"> obračuna?</w:t>
      </w:r>
      <w:r w:rsidR="007F76B3">
        <w:rPr>
          <w:rFonts w:eastAsia="Times New Roman"/>
        </w:rPr>
        <w:t xml:space="preserve"> (Odgovor je na voljo na  posnetku)</w:t>
      </w:r>
    </w:p>
    <w:p w:rsidR="003F77A5" w:rsidRDefault="003F77A5" w:rsidP="003F77A5">
      <w:pPr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 xml:space="preserve">V scenarije prosimo, da se doda primer obračuna samooskrbe po EZ-1.  To pomeni 2 </w:t>
      </w:r>
      <w:proofErr w:type="spellStart"/>
      <w:r>
        <w:rPr>
          <w:rFonts w:eastAsia="Times New Roman"/>
        </w:rPr>
        <w:t>prilogiA</w:t>
      </w:r>
      <w:proofErr w:type="spellEnd"/>
      <w:r>
        <w:rPr>
          <w:rFonts w:eastAsia="Times New Roman"/>
        </w:rPr>
        <w:t xml:space="preserve"> (poračuna) za obdobji 01.01.2023 do 30.06.2023 in od 01.07.2023 do 31.12.2023.</w:t>
      </w:r>
      <w:r w:rsidR="007F76B3" w:rsidRPr="007F76B3">
        <w:rPr>
          <w:rFonts w:eastAsia="Times New Roman"/>
        </w:rPr>
        <w:t xml:space="preserve"> </w:t>
      </w:r>
      <w:r w:rsidR="007F76B3">
        <w:rPr>
          <w:rFonts w:eastAsia="Times New Roman"/>
        </w:rPr>
        <w:t>(Odgovor je na voljo na  posnetku)</w:t>
      </w:r>
    </w:p>
    <w:p w:rsidR="003F77A5" w:rsidRPr="003F77A5" w:rsidRDefault="003F77A5" w:rsidP="003F77A5">
      <w:pPr>
        <w:numPr>
          <w:ilvl w:val="0"/>
          <w:numId w:val="5"/>
        </w:numPr>
        <w:rPr>
          <w:rFonts w:eastAsia="Times New Roman"/>
          <w:b/>
        </w:rPr>
      </w:pPr>
      <w:r w:rsidRPr="003F77A5">
        <w:rPr>
          <w:rFonts w:eastAsia="Times New Roman"/>
          <w:b/>
        </w:rPr>
        <w:t>Predvidevamo, da pri M1-1 dobimo vedno obračun za obračunsko obdobje en mesec ali manjše. Ali se lahko zgodi, da je obračunsko obdobje več kot 1 mesec? Primer spodaj. Dobili smo obračune in storne za 08 in 09 mesec nato smo dobili novi obračun za 03 mesece (08,09,10 mesec)</w:t>
      </w:r>
    </w:p>
    <w:p w:rsidR="00303F9E" w:rsidRPr="003F77A5" w:rsidRDefault="003F77A5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 xml:space="preserve">Maja Košir in Boštjan Pičulin: </w:t>
      </w:r>
      <w:r w:rsidRPr="003F77A5">
        <w:rPr>
          <w:rFonts w:ascii="Arial" w:eastAsia="Times New Roman" w:hAnsi="Arial" w:cs="Arial"/>
          <w:b/>
          <w:color w:val="000000"/>
          <w:sz w:val="20"/>
          <w:szCs w:val="20"/>
        </w:rPr>
        <w:t xml:space="preserve">Zadnje vprašanje se preuči 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 xml:space="preserve">v skupini za obračun in merjenje </w:t>
      </w:r>
      <w:r w:rsidRPr="003F77A5">
        <w:rPr>
          <w:rFonts w:ascii="Arial" w:eastAsia="Times New Roman" w:hAnsi="Arial" w:cs="Arial"/>
          <w:b/>
          <w:color w:val="000000"/>
          <w:sz w:val="20"/>
          <w:szCs w:val="20"/>
        </w:rPr>
        <w:t>glede n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a popise števcev in obračunov ter</w:t>
      </w:r>
      <w:r w:rsidRPr="003F77A5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se pripravi odgovor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.</w:t>
      </w:r>
    </w:p>
    <w:p w:rsidR="003F77A5" w:rsidRDefault="003F77A5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3F77A5" w:rsidRPr="003C5253" w:rsidRDefault="003F77A5" w:rsidP="005C2F1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7F76B3">
        <w:rPr>
          <w:rFonts w:ascii="Arial" w:eastAsia="Times New Roman" w:hAnsi="Arial" w:cs="Arial"/>
          <w:b/>
          <w:color w:val="000000"/>
          <w:sz w:val="20"/>
          <w:szCs w:val="20"/>
        </w:rPr>
        <w:t>Saša Krašna Halilagič</w:t>
      </w:r>
      <w:r w:rsidR="003C5253" w:rsidRPr="007F76B3">
        <w:rPr>
          <w:rFonts w:ascii="Arial" w:eastAsia="Times New Roman" w:hAnsi="Arial" w:cs="Arial"/>
          <w:b/>
          <w:color w:val="000000"/>
          <w:sz w:val="20"/>
          <w:szCs w:val="20"/>
        </w:rPr>
        <w:t>:</w:t>
      </w:r>
      <w:r w:rsidR="003C5253">
        <w:rPr>
          <w:rFonts w:ascii="Arial" w:eastAsia="Times New Roman" w:hAnsi="Arial" w:cs="Arial"/>
          <w:color w:val="000000"/>
          <w:sz w:val="20"/>
          <w:szCs w:val="20"/>
        </w:rPr>
        <w:t xml:space="preserve"> Z</w:t>
      </w:r>
      <w:r w:rsidR="003C5253" w:rsidRPr="003C5253">
        <w:rPr>
          <w:rFonts w:ascii="Arial" w:eastAsia="Times New Roman" w:hAnsi="Arial" w:cs="Arial"/>
          <w:color w:val="000000"/>
          <w:sz w:val="20"/>
          <w:szCs w:val="20"/>
        </w:rPr>
        <w:t xml:space="preserve">a področje prehoda gospodinjstev na merjen odjem za bilančni obračun </w:t>
      </w:r>
      <w:r w:rsidRPr="003C5253">
        <w:rPr>
          <w:rFonts w:ascii="Arial" w:eastAsia="Times New Roman" w:hAnsi="Arial" w:cs="Arial"/>
          <w:color w:val="000000"/>
          <w:sz w:val="20"/>
          <w:szCs w:val="20"/>
        </w:rPr>
        <w:t xml:space="preserve"> pozove k čim pre</w:t>
      </w:r>
      <w:r w:rsidR="0036333F" w:rsidRPr="003C5253">
        <w:rPr>
          <w:rFonts w:ascii="Arial" w:eastAsia="Times New Roman" w:hAnsi="Arial" w:cs="Arial"/>
          <w:color w:val="000000"/>
          <w:sz w:val="20"/>
          <w:szCs w:val="20"/>
        </w:rPr>
        <w:t>jšnji konsolidaciji vprašanj in pripravi odgovorov.</w:t>
      </w:r>
    </w:p>
    <w:p w:rsidR="0036333F" w:rsidRPr="003C5253" w:rsidRDefault="003C5253" w:rsidP="005C2F1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7F76B3">
        <w:rPr>
          <w:rFonts w:ascii="Arial" w:eastAsia="Times New Roman" w:hAnsi="Arial" w:cs="Arial"/>
          <w:b/>
          <w:color w:val="000000"/>
          <w:sz w:val="20"/>
          <w:szCs w:val="20"/>
        </w:rPr>
        <w:t>Boštjan Topolovec: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V prilogi beležke današnje koordinacije z dobavitelji bo ob vprašanjih Saše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Krašana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Halilagič, ki je v Odgovorih na vprašanja priložen tudi dokument HSE in Sekcije dobaviteljev pri EZS.</w:t>
      </w:r>
    </w:p>
    <w:p w:rsidR="00303F9E" w:rsidRDefault="00303F9E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7F76B3" w:rsidRPr="005C2F13" w:rsidRDefault="007F76B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5C2F13" w:rsidRDefault="005C2F1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C2F13">
        <w:rPr>
          <w:rFonts w:ascii="Arial" w:eastAsia="Times New Roman" w:hAnsi="Arial" w:cs="Arial"/>
          <w:b/>
          <w:color w:val="000000"/>
          <w:sz w:val="20"/>
          <w:szCs w:val="20"/>
        </w:rPr>
        <w:t xml:space="preserve">AD4 </w:t>
      </w:r>
      <w:proofErr w:type="spellStart"/>
      <w:r w:rsidRPr="005C2F13">
        <w:rPr>
          <w:rFonts w:ascii="Arial" w:eastAsia="Times New Roman" w:hAnsi="Arial" w:cs="Arial"/>
          <w:b/>
          <w:color w:val="000000"/>
          <w:sz w:val="20"/>
          <w:szCs w:val="20"/>
        </w:rPr>
        <w:t>Nepotrditev</w:t>
      </w:r>
      <w:proofErr w:type="spellEnd"/>
      <w:r w:rsidRPr="005C2F13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predloga spremembe pravil za delovanje trga</w:t>
      </w:r>
    </w:p>
    <w:p w:rsidR="00B0338F" w:rsidRDefault="00B0338F" w:rsidP="00B0338F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338F" w:rsidRPr="00B0338F" w:rsidRDefault="00B0338F" w:rsidP="00B0338F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Prejeli smo  od BORZEN:</w:t>
      </w:r>
    </w:p>
    <w:p w:rsidR="005C2F13" w:rsidRDefault="00B0338F" w:rsidP="00B0338F">
      <w:r>
        <w:t>»</w:t>
      </w:r>
      <w:r w:rsidR="005C2F13">
        <w:t xml:space="preserve">Obvestili so nas, da Svet agencije za energijo na svoji seji z dne 14. 12. 2023 </w:t>
      </w:r>
      <w:r w:rsidR="005C2F13">
        <w:rPr>
          <w:b/>
          <w:bCs/>
          <w:u w:val="single"/>
        </w:rPr>
        <w:t>ni podal soglasja</w:t>
      </w:r>
      <w:r w:rsidR="005C2F13">
        <w:t xml:space="preserve"> k spremembi Pravil za delovanje trga z električno energijo, za katere je bila izpeljana javna obravnava in ki so bila uspešno usklajena s kombiniranim operaterjem. Napovedana sprememba 74. člena torej </w:t>
      </w:r>
      <w:r w:rsidR="005C2F13">
        <w:rPr>
          <w:b/>
          <w:bCs/>
        </w:rPr>
        <w:t>ne stopi v veljavo s 1. 1. 2024</w:t>
      </w:r>
      <w:r w:rsidR="005C2F13">
        <w:t>. Do nadaljnjega ostajajo v veljavi obstoječa Pravila za delovanje trga z električno energijo (Uradni list RS, št. 163/22).</w:t>
      </w:r>
      <w:r>
        <w:t>«</w:t>
      </w:r>
    </w:p>
    <w:p w:rsidR="005C2F13" w:rsidRDefault="005C2F1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338F" w:rsidRPr="00B0338F" w:rsidRDefault="00B0338F" w:rsidP="005C2F13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Sporočilo je bilo poslano na vse elektronske naslove za obveščanje dobaviteljev.</w:t>
      </w:r>
    </w:p>
    <w:p w:rsidR="005C2F13" w:rsidRDefault="005C2F1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5C2F13" w:rsidRDefault="005C2F1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AD5 Prehod leta</w:t>
      </w:r>
    </w:p>
    <w:p w:rsidR="005C2F13" w:rsidRPr="005C2F13" w:rsidRDefault="005C2F13" w:rsidP="005C2F13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ab/>
      </w:r>
      <w:r w:rsidR="00967385">
        <w:rPr>
          <w:rFonts w:ascii="Arial" w:eastAsia="Times New Roman" w:hAnsi="Arial" w:cs="Arial"/>
          <w:color w:val="000000"/>
          <w:sz w:val="20"/>
          <w:szCs w:val="20"/>
        </w:rPr>
        <w:t>Zagotov</w:t>
      </w:r>
      <w:r w:rsidRPr="005C2F13">
        <w:rPr>
          <w:rFonts w:ascii="Arial" w:eastAsia="Times New Roman" w:hAnsi="Arial" w:cs="Arial"/>
          <w:color w:val="000000"/>
          <w:sz w:val="20"/>
          <w:szCs w:val="20"/>
        </w:rPr>
        <w:t>ljeno na preteklem sestanku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in v zapisniku</w:t>
      </w:r>
      <w:r w:rsidRPr="005C2F13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Pr="00967385">
        <w:rPr>
          <w:rFonts w:ascii="Arial" w:eastAsia="Times New Roman" w:hAnsi="Arial" w:cs="Arial"/>
          <w:b/>
          <w:color w:val="000000"/>
          <w:sz w:val="20"/>
          <w:szCs w:val="20"/>
        </w:rPr>
        <w:t>Prosimo za pozornost</w:t>
      </w:r>
      <w:r w:rsidR="00967385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pri samooskrbah  in se držite predpisanih datumov za spremembo PDP</w:t>
      </w:r>
      <w:r w:rsidRPr="00967385">
        <w:rPr>
          <w:rFonts w:ascii="Arial" w:eastAsia="Times New Roman" w:hAnsi="Arial" w:cs="Arial"/>
          <w:b/>
          <w:color w:val="000000"/>
          <w:sz w:val="20"/>
          <w:szCs w:val="20"/>
        </w:rPr>
        <w:t>.</w:t>
      </w:r>
      <w:r w:rsidR="00967385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</w:p>
    <w:p w:rsidR="005C2F13" w:rsidRDefault="005C2F1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9C202D" w:rsidRDefault="009C202D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9C202D" w:rsidRPr="005C2F13" w:rsidRDefault="009C202D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338F" w:rsidRDefault="00B0338F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5C2F13" w:rsidRDefault="005C2F13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C2F13">
        <w:rPr>
          <w:rFonts w:ascii="Arial" w:eastAsia="Times New Roman" w:hAnsi="Arial" w:cs="Arial"/>
          <w:b/>
          <w:color w:val="000000"/>
          <w:sz w:val="20"/>
          <w:szCs w:val="20"/>
        </w:rPr>
        <w:lastRenderedPageBreak/>
        <w:t>AD5 Določiti naslednji termin</w:t>
      </w:r>
      <w:r w:rsidR="00844F05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koordinacije</w:t>
      </w:r>
    </w:p>
    <w:p w:rsidR="00967385" w:rsidRDefault="00967385" w:rsidP="005C2F13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3F77A5" w:rsidRPr="007F76B3" w:rsidRDefault="003F77A5" w:rsidP="005C2F1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7F76B3">
        <w:rPr>
          <w:rFonts w:ascii="Arial" w:eastAsia="Times New Roman" w:hAnsi="Arial" w:cs="Arial"/>
          <w:color w:val="000000"/>
          <w:sz w:val="20"/>
          <w:szCs w:val="20"/>
        </w:rPr>
        <w:t>Predlog je 18.1.2024</w:t>
      </w:r>
    </w:p>
    <w:p w:rsidR="005C2F13" w:rsidRDefault="005C2F13"/>
    <w:p w:rsidR="009C202D" w:rsidRDefault="009C202D"/>
    <w:p w:rsidR="005C2F13" w:rsidRDefault="00952772">
      <w:pPr>
        <w:rPr>
          <w:b/>
        </w:rPr>
      </w:pPr>
      <w:r w:rsidRPr="003F77A5">
        <w:rPr>
          <w:b/>
        </w:rPr>
        <w:t xml:space="preserve">AD6 </w:t>
      </w:r>
      <w:r w:rsidR="003F77A5">
        <w:rPr>
          <w:b/>
        </w:rPr>
        <w:t>Nova dobavitelja</w:t>
      </w:r>
    </w:p>
    <w:p w:rsidR="009C202D" w:rsidRPr="003F77A5" w:rsidRDefault="009C202D">
      <w:pPr>
        <w:rPr>
          <w:b/>
        </w:rPr>
      </w:pPr>
    </w:p>
    <w:p w:rsidR="005C2F13" w:rsidRDefault="005C2F13" w:rsidP="005C2F13">
      <w:r w:rsidRPr="00844F05">
        <w:rPr>
          <w:b/>
        </w:rPr>
        <w:t xml:space="preserve">KOLEKTOR </w:t>
      </w:r>
      <w:proofErr w:type="spellStart"/>
      <w:r w:rsidRPr="00844F05">
        <w:rPr>
          <w:b/>
        </w:rPr>
        <w:t>sETup</w:t>
      </w:r>
      <w:proofErr w:type="spellEnd"/>
      <w:r w:rsidRPr="00844F05">
        <w:rPr>
          <w:b/>
        </w:rPr>
        <w:t xml:space="preserve"> d.o.o.</w:t>
      </w:r>
      <w:r>
        <w:t xml:space="preserve">   Kontaktna oseba: Rok Kušar;  Elektronska pošta: </w:t>
      </w:r>
      <w:hyperlink r:id="rId8" w:history="1">
        <w:r>
          <w:rPr>
            <w:rStyle w:val="Hiperpovezava"/>
          </w:rPr>
          <w:t>Rok.Kusar@kolektor.com</w:t>
        </w:r>
      </w:hyperlink>
      <w:r>
        <w:t xml:space="preserve"> , Telefonska številka: 051381834</w:t>
      </w:r>
    </w:p>
    <w:p w:rsidR="005C2F13" w:rsidRDefault="005C2F13" w:rsidP="005C2F13"/>
    <w:p w:rsidR="005C2F13" w:rsidRDefault="005C2F13" w:rsidP="005C2F13">
      <w:r>
        <w:t>in</w:t>
      </w:r>
    </w:p>
    <w:p w:rsidR="005C2F13" w:rsidRDefault="005C2F13" w:rsidP="005C2F13"/>
    <w:p w:rsidR="005C2F13" w:rsidRDefault="005C2F13" w:rsidP="005C2F13">
      <w:r w:rsidRPr="00844F05">
        <w:rPr>
          <w:b/>
        </w:rPr>
        <w:t>FLEXGRID d.o.o.</w:t>
      </w:r>
      <w:r>
        <w:t xml:space="preserve">  Kontaktna oseba je: Mario Užar; Elektronska pošta: </w:t>
      </w:r>
      <w:hyperlink r:id="rId9" w:tgtFrame="_blank" w:history="1">
        <w:r>
          <w:rPr>
            <w:rStyle w:val="Hiperpovezava"/>
          </w:rPr>
          <w:t>mario.uzar@f</w:t>
        </w:r>
      </w:hyperlink>
      <w:hyperlink r:id="rId10" w:tgtFrame="_blank" w:history="1">
        <w:r>
          <w:rPr>
            <w:rStyle w:val="Hiperpovezava"/>
          </w:rPr>
          <w:t>lexgrid.ai</w:t>
        </w:r>
      </w:hyperlink>
      <w:r>
        <w:t xml:space="preserve"> ;  Telefonska številka: 041359185</w:t>
      </w:r>
    </w:p>
    <w:p w:rsidR="005C2F13" w:rsidRDefault="005C2F13"/>
    <w:p w:rsidR="00B14A52" w:rsidRDefault="00B14A52"/>
    <w:p w:rsidR="00B14A52" w:rsidRDefault="00B14A52">
      <w:r>
        <w:t>Priloge:</w:t>
      </w:r>
    </w:p>
    <w:p w:rsidR="00B14A52" w:rsidRDefault="00B14A52" w:rsidP="00B14A52">
      <w:pPr>
        <w:pStyle w:val="Odstavekseznama"/>
        <w:numPr>
          <w:ilvl w:val="0"/>
          <w:numId w:val="5"/>
        </w:numPr>
      </w:pPr>
      <w:r w:rsidRPr="00B14A52">
        <w:t>2023 11 Odgovori na vprašanja dobaviteljev DRUGI SKLOP V MESECU NOVEMBRU</w:t>
      </w:r>
    </w:p>
    <w:p w:rsidR="00B14A52" w:rsidRDefault="00B14A52" w:rsidP="00B14A52">
      <w:pPr>
        <w:pStyle w:val="Odstavekseznama"/>
        <w:numPr>
          <w:ilvl w:val="0"/>
          <w:numId w:val="5"/>
        </w:numPr>
      </w:pPr>
      <w:r w:rsidRPr="00B14A52">
        <w:t>2023_12_HSE_ prošnja za agregate</w:t>
      </w:r>
    </w:p>
    <w:p w:rsidR="00B14A52" w:rsidRDefault="00B14A52" w:rsidP="00B14A52">
      <w:pPr>
        <w:pStyle w:val="Odstavekseznama"/>
        <w:numPr>
          <w:ilvl w:val="0"/>
          <w:numId w:val="5"/>
        </w:numPr>
      </w:pPr>
      <w:r w:rsidRPr="00B14A52">
        <w:t>Merjenje_GOS_19-12-2023</w:t>
      </w:r>
    </w:p>
    <w:sectPr w:rsidR="00B14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77CF8"/>
    <w:multiLevelType w:val="hybridMultilevel"/>
    <w:tmpl w:val="F12242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46739"/>
    <w:multiLevelType w:val="hybridMultilevel"/>
    <w:tmpl w:val="018CCA26"/>
    <w:lvl w:ilvl="0" w:tplc="6668FA74">
      <w:start w:val="15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E2C4179"/>
    <w:multiLevelType w:val="hybridMultilevel"/>
    <w:tmpl w:val="F12242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52D9B"/>
    <w:multiLevelType w:val="hybridMultilevel"/>
    <w:tmpl w:val="88D4BC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F13"/>
    <w:rsid w:val="00303F9E"/>
    <w:rsid w:val="0036333F"/>
    <w:rsid w:val="003C5253"/>
    <w:rsid w:val="003F77A5"/>
    <w:rsid w:val="005C2F13"/>
    <w:rsid w:val="006C57AA"/>
    <w:rsid w:val="007F76B3"/>
    <w:rsid w:val="00844F05"/>
    <w:rsid w:val="00952772"/>
    <w:rsid w:val="00967385"/>
    <w:rsid w:val="009C202D"/>
    <w:rsid w:val="00B0338F"/>
    <w:rsid w:val="00B14A52"/>
    <w:rsid w:val="00B8764B"/>
    <w:rsid w:val="00C80377"/>
    <w:rsid w:val="00D86AFC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0AB51"/>
  <w15:chartTrackingRefBased/>
  <w15:docId w15:val="{AD74E377-6EF7-4468-AB41-5A63FFB8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C2F13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5C2F13"/>
    <w:rPr>
      <w:color w:val="0563C1"/>
      <w:u w:val="single"/>
    </w:rPr>
  </w:style>
  <w:style w:type="paragraph" w:styleId="Odstavekseznama">
    <w:name w:val="List Paragraph"/>
    <w:basedOn w:val="Navaden"/>
    <w:uiPriority w:val="34"/>
    <w:qFormat/>
    <w:rsid w:val="00B14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0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.Kusar@kolektor.com" TargetMode="External"/><Relationship Id="rId3" Type="http://schemas.openxmlformats.org/officeDocument/2006/relationships/settings" Target="settings.xml"/><Relationship Id="rId7" Type="http://schemas.openxmlformats.org/officeDocument/2006/relationships/image" Target="cid:image004.png@01DA328D.BA342CD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sodo.si/sl/za-dobavitelje/predstavitve-za-dobavitelje/video-vsebine" TargetMode="External"/><Relationship Id="rId10" Type="http://schemas.openxmlformats.org/officeDocument/2006/relationships/hyperlink" Target="http://lexgrid.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rej.dovic@tehnosol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SODO d.o.o.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Bostjan Topolovec</dc:creator>
  <cp:keywords/>
  <dc:description/>
  <cp:lastModifiedBy>Bostjan Topolovec</cp:lastModifiedBy>
  <cp:revision>9</cp:revision>
  <dcterms:created xsi:type="dcterms:W3CDTF">2023-12-21T07:58:00Z</dcterms:created>
  <dcterms:modified xsi:type="dcterms:W3CDTF">2023-12-22T07:01:00Z</dcterms:modified>
</cp:coreProperties>
</file>